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7"/>
        <w:ind w:left="0" w:firstLine="0"/>
        <w:jc w:val="both"/>
        <w:rPr>
          <w:rFonts w:ascii="Times New Roman"/>
          <w:sz w:val="13"/>
        </w:rPr>
      </w:pPr>
    </w:p>
    <w:p>
      <w:pPr>
        <w:keepNext w:val="0"/>
        <w:keepLines w:val="0"/>
        <w:pageBreakBefore w:val="0"/>
        <w:widowControl w:val="0"/>
        <w:kinsoku/>
        <w:wordWrap/>
        <w:overflowPunct/>
        <w:topLinePunct w:val="0"/>
        <w:autoSpaceDE w:val="0"/>
        <w:autoSpaceDN w:val="0"/>
        <w:bidi w:val="0"/>
        <w:adjustRightInd/>
        <w:snapToGrid/>
        <w:spacing w:before="54" w:line="240" w:lineRule="auto"/>
        <w:ind w:right="527"/>
        <w:jc w:val="center"/>
        <w:textAlignment w:val="auto"/>
        <w:rPr>
          <w:rFonts w:hint="eastAsia" w:ascii="方正小标宋简体" w:hAnsi="方正小标宋简体" w:eastAsia="方正小标宋简体" w:cs="方正小标宋简体"/>
          <w:b/>
          <w:sz w:val="32"/>
        </w:rPr>
      </w:pPr>
      <w:r>
        <w:rPr>
          <w:rFonts w:hint="eastAsia" w:ascii="方正小标宋简体" w:hAnsi="方正小标宋简体" w:eastAsia="方正小标宋简体" w:cs="方正小标宋简体"/>
          <w:b/>
          <w:sz w:val="32"/>
        </w:rPr>
        <w:t>河口生态安全与环境健康福建省高校重点实验室</w:t>
      </w:r>
    </w:p>
    <w:p>
      <w:pPr>
        <w:keepNext w:val="0"/>
        <w:keepLines w:val="0"/>
        <w:pageBreakBefore w:val="0"/>
        <w:widowControl w:val="0"/>
        <w:kinsoku/>
        <w:wordWrap/>
        <w:overflowPunct/>
        <w:topLinePunct w:val="0"/>
        <w:autoSpaceDE w:val="0"/>
        <w:autoSpaceDN w:val="0"/>
        <w:bidi w:val="0"/>
        <w:adjustRightInd/>
        <w:snapToGrid/>
        <w:spacing w:before="54" w:line="240" w:lineRule="auto"/>
        <w:ind w:right="527"/>
        <w:jc w:val="center"/>
        <w:textAlignment w:val="auto"/>
        <w:rPr>
          <w:rFonts w:hint="eastAsia" w:ascii="方正小标宋简体" w:hAnsi="方正小标宋简体" w:eastAsia="方正小标宋简体" w:cs="方正小标宋简体"/>
          <w:b/>
          <w:sz w:val="32"/>
          <w:lang w:val="en-US"/>
        </w:rPr>
      </w:pPr>
      <w:r>
        <w:rPr>
          <w:rFonts w:hint="eastAsia" w:ascii="方正小标宋简体" w:hAnsi="方正小标宋简体" w:eastAsia="方正小标宋简体" w:cs="方正小标宋简体"/>
          <w:b/>
          <w:sz w:val="32"/>
        </w:rPr>
        <w:t>开放基金</w:t>
      </w:r>
      <w:r>
        <w:rPr>
          <w:rFonts w:hint="eastAsia" w:ascii="方正小标宋简体" w:hAnsi="方正小标宋简体" w:eastAsia="方正小标宋简体" w:cs="方正小标宋简体"/>
          <w:b/>
          <w:sz w:val="32"/>
          <w:lang w:val="en-US"/>
        </w:rPr>
        <w:t>管理办法</w:t>
      </w:r>
    </w:p>
    <w:p>
      <w:pPr>
        <w:autoSpaceDE/>
        <w:autoSpaceDN/>
        <w:spacing w:line="360" w:lineRule="auto"/>
        <w:ind w:firstLine="560" w:firstLineChars="200"/>
        <w:rPr>
          <w:rFonts w:hint="eastAsia" w:ascii="Times New Roman" w:hAnsi="Times New Roman" w:cs="Times New Roman"/>
          <w:sz w:val="28"/>
          <w:szCs w:val="32"/>
          <w:lang w:val="en-US" w:eastAsia="zh-CN"/>
        </w:rPr>
      </w:pPr>
    </w:p>
    <w:p>
      <w:pPr>
        <w:autoSpaceDE/>
        <w:autoSpaceDN/>
        <w:spacing w:line="360" w:lineRule="auto"/>
        <w:ind w:firstLine="560" w:firstLineChars="200"/>
        <w:rPr>
          <w:rFonts w:ascii="Times New Roman" w:hAnsi="Times New Roman" w:cs="Times New Roman"/>
          <w:sz w:val="28"/>
          <w:szCs w:val="32"/>
        </w:rPr>
      </w:pPr>
      <w:r>
        <w:rPr>
          <w:rFonts w:hint="eastAsia" w:ascii="Times New Roman" w:hAnsi="Times New Roman" w:cs="Times New Roman"/>
          <w:sz w:val="28"/>
          <w:szCs w:val="32"/>
          <w:lang w:val="en-US" w:eastAsia="zh-CN"/>
        </w:rPr>
        <w:t>河口生态安全与环境健康福建省高校</w:t>
      </w:r>
      <w:r>
        <w:rPr>
          <w:rFonts w:ascii="Times New Roman" w:hAnsi="Times New Roman" w:cs="Times New Roman"/>
          <w:sz w:val="28"/>
          <w:szCs w:val="32"/>
        </w:rPr>
        <w:t>重点实验室依托于</w:t>
      </w:r>
      <w:r>
        <w:rPr>
          <w:rFonts w:hint="eastAsia" w:ascii="Times New Roman" w:hAnsi="Times New Roman" w:cs="Times New Roman"/>
          <w:sz w:val="28"/>
          <w:szCs w:val="32"/>
          <w:lang w:val="en-US" w:eastAsia="zh-CN"/>
        </w:rPr>
        <w:t>厦门大学嘉庚学院</w:t>
      </w:r>
      <w:r>
        <w:rPr>
          <w:rFonts w:ascii="Times New Roman" w:hAnsi="Times New Roman" w:cs="Times New Roman"/>
          <w:sz w:val="28"/>
          <w:szCs w:val="32"/>
        </w:rPr>
        <w:t>于20</w:t>
      </w:r>
      <w:r>
        <w:rPr>
          <w:rFonts w:hint="eastAsia" w:ascii="Times New Roman" w:hAnsi="Times New Roman" w:cs="Times New Roman"/>
          <w:sz w:val="28"/>
          <w:szCs w:val="32"/>
          <w:lang w:val="en-US" w:eastAsia="zh-CN"/>
        </w:rPr>
        <w:t>15</w:t>
      </w:r>
      <w:r>
        <w:rPr>
          <w:rFonts w:ascii="Times New Roman" w:hAnsi="Times New Roman" w:cs="Times New Roman"/>
          <w:sz w:val="28"/>
          <w:szCs w:val="32"/>
        </w:rPr>
        <w:t>年</w:t>
      </w:r>
      <w:r>
        <w:rPr>
          <w:rFonts w:hint="eastAsia" w:ascii="Times New Roman" w:hAnsi="Times New Roman" w:cs="Times New Roman"/>
          <w:sz w:val="28"/>
          <w:szCs w:val="32"/>
          <w:lang w:val="en-US" w:eastAsia="zh-CN"/>
        </w:rPr>
        <w:t>1</w:t>
      </w:r>
      <w:r>
        <w:rPr>
          <w:rFonts w:ascii="Times New Roman" w:hAnsi="Times New Roman" w:cs="Times New Roman"/>
          <w:sz w:val="28"/>
          <w:szCs w:val="32"/>
        </w:rPr>
        <w:t>1月获批立项建设（</w:t>
      </w:r>
      <w:r>
        <w:rPr>
          <w:rFonts w:hint="eastAsia" w:ascii="Times New Roman" w:hAnsi="Times New Roman" w:cs="Times New Roman"/>
          <w:sz w:val="28"/>
          <w:szCs w:val="32"/>
        </w:rPr>
        <w:t>闽教科〔2015〕88号</w:t>
      </w:r>
      <w:r>
        <w:rPr>
          <w:rFonts w:ascii="Times New Roman" w:hAnsi="Times New Roman" w:cs="Times New Roman"/>
          <w:sz w:val="28"/>
          <w:szCs w:val="32"/>
        </w:rPr>
        <w:t>）。实验室</w:t>
      </w:r>
      <w:r>
        <w:rPr>
          <w:rFonts w:hint="eastAsia" w:ascii="Times New Roman" w:hAnsi="Times New Roman" w:cs="Times New Roman"/>
          <w:sz w:val="28"/>
          <w:szCs w:val="32"/>
        </w:rPr>
        <w:t>聚焦国家与区域河口生态安全重大战略需求，着力开展河口生态安全与环境健康领域关键理论、技术创新和应用研究</w:t>
      </w:r>
      <w:r>
        <w:rPr>
          <w:rFonts w:ascii="Times New Roman" w:hAnsi="Times New Roman" w:cs="Times New Roman"/>
          <w:sz w:val="28"/>
          <w:szCs w:val="32"/>
        </w:rPr>
        <w:t>。</w:t>
      </w:r>
    </w:p>
    <w:p>
      <w:pPr>
        <w:autoSpaceDE/>
        <w:autoSpaceDN/>
        <w:spacing w:line="360" w:lineRule="auto"/>
        <w:ind w:firstLine="560" w:firstLineChars="200"/>
        <w:rPr>
          <w:rFonts w:ascii="Times New Roman" w:hAnsi="Times New Roman" w:cs="Times New Roman"/>
          <w:sz w:val="28"/>
          <w:szCs w:val="32"/>
        </w:rPr>
      </w:pPr>
      <w:r>
        <w:rPr>
          <w:rFonts w:ascii="Times New Roman" w:hAnsi="Times New Roman" w:cs="Times New Roman"/>
          <w:sz w:val="28"/>
          <w:szCs w:val="32"/>
        </w:rPr>
        <w:t>实验室</w:t>
      </w:r>
      <w:r>
        <w:rPr>
          <w:rFonts w:hint="eastAsia" w:ascii="Times New Roman" w:hAnsi="Times New Roman" w:cs="Times New Roman"/>
          <w:sz w:val="28"/>
          <w:szCs w:val="32"/>
        </w:rPr>
        <w:t>以亚热带地域河口流域和典型红树林湿地生态系统为对象，揭示人类活动与河口生态环境的相互作用机制及其调控机理，发展河口流域生态恢复的理论与方法，为支撑国家和区域生态安全，河口流域治理修复、助力中国“3060”双碳战略目标的实现提供科学基础、技术支持和实施范例。</w:t>
      </w:r>
      <w:r>
        <w:rPr>
          <w:rFonts w:ascii="Times New Roman" w:hAnsi="Times New Roman" w:cs="Times New Roman"/>
          <w:sz w:val="28"/>
          <w:szCs w:val="32"/>
        </w:rPr>
        <w:t xml:space="preserve"> </w:t>
      </w:r>
    </w:p>
    <w:p>
      <w:pPr>
        <w:pStyle w:val="4"/>
        <w:spacing w:before="2"/>
        <w:ind w:left="0" w:firstLine="0"/>
        <w:jc w:val="both"/>
        <w:rPr>
          <w:sz w:val="22"/>
        </w:rPr>
      </w:pPr>
    </w:p>
    <w:p>
      <w:pPr>
        <w:pStyle w:val="3"/>
        <w:ind w:left="0" w:right="530"/>
        <w:jc w:val="center"/>
      </w:pPr>
      <w:r>
        <w:t>第一章 宗旨</w:t>
      </w:r>
    </w:p>
    <w:p>
      <w:pPr>
        <w:pStyle w:val="4"/>
        <w:spacing w:before="11"/>
        <w:ind w:left="0" w:firstLine="0"/>
        <w:jc w:val="both"/>
        <w:rPr>
          <w:b/>
          <w:sz w:val="32"/>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cs="Times New Roman"/>
          <w:sz w:val="28"/>
          <w:szCs w:val="32"/>
        </w:rPr>
      </w:pPr>
      <w:r>
        <w:rPr>
          <w:rFonts w:hint="eastAsia" w:ascii="Times New Roman" w:hAnsi="Times New Roman" w:cs="Times New Roman"/>
          <w:sz w:val="28"/>
          <w:szCs w:val="32"/>
          <w:lang w:val="en-US"/>
        </w:rPr>
        <w:t>重点实验室</w:t>
      </w:r>
      <w:r>
        <w:rPr>
          <w:rFonts w:hint="eastAsia" w:ascii="Times New Roman" w:hAnsi="Times New Roman" w:cs="Times New Roman"/>
          <w:sz w:val="28"/>
          <w:szCs w:val="32"/>
          <w:lang w:val="en-US" w:eastAsia="zh-CN"/>
        </w:rPr>
        <w:t>开放基金的</w:t>
      </w:r>
      <w:r>
        <w:rPr>
          <w:rFonts w:ascii="Times New Roman" w:hAnsi="Times New Roman" w:cs="Times New Roman"/>
          <w:sz w:val="28"/>
          <w:szCs w:val="32"/>
        </w:rPr>
        <w:t>宗旨是：</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pPr>
      <w:r>
        <w:rPr>
          <w:rFonts w:hint="eastAsia" w:ascii="Times New Roman" w:hAnsi="Times New Roman" w:cs="Times New Roman"/>
          <w:sz w:val="28"/>
          <w:szCs w:val="32"/>
          <w:lang w:val="en-US" w:eastAsia="zh-CN"/>
        </w:rPr>
        <w:t>实验室是本学科领域国家和部门科技创新体系的重要组成部分，是组织高水平基础研究和应用基础研究、聚集和培养优秀科学家、开展学术交流的重要基地。本着“开放、流动、联合、竞争”的运行机制，实验室向国内外开放，每年设立专项基金用于受理国内外本领域研究人员的课题申请，促进本学科发展和人才交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pPr>
      <w:r>
        <w:rPr>
          <w:rFonts w:hint="eastAsia" w:ascii="Times New Roman" w:hAnsi="Times New Roman" w:cs="Times New Roman"/>
          <w:sz w:val="28"/>
          <w:szCs w:val="32"/>
          <w:lang w:val="en-US" w:eastAsia="zh-CN"/>
        </w:rPr>
        <w:t>充分发挥和利用重点实验室良好的科学研究条件，吸引和资助科技人员来重点实验室开展相关方面的高水平研究，加强科研合作，增进相互交流，资助省内外科研工作者参与实验室的研究工作。</w:t>
      </w:r>
    </w:p>
    <w:p>
      <w:pPr>
        <w:pStyle w:val="4"/>
        <w:keepNext w:val="0"/>
        <w:keepLines w:val="0"/>
        <w:pageBreakBefore w:val="0"/>
        <w:widowControl w:val="0"/>
        <w:numPr>
          <w:ilvl w:val="0"/>
          <w:numId w:val="1"/>
        </w:numPr>
        <w:kinsoku/>
        <w:wordWrap/>
        <w:overflowPunct/>
        <w:topLinePunct w:val="0"/>
        <w:bidi w:val="0"/>
        <w:adjustRightInd/>
        <w:snapToGrid/>
        <w:spacing w:line="360" w:lineRule="auto"/>
        <w:ind w:left="0" w:leftChars="0" w:right="383" w:rightChars="0" w:firstLine="560" w:firstLineChars="200"/>
        <w:jc w:val="both"/>
        <w:textAlignment w:val="auto"/>
      </w:pPr>
      <w:r>
        <w:t xml:space="preserve">开放基金的执行期限为 </w:t>
      </w:r>
      <w:r>
        <w:rPr>
          <w:rFonts w:ascii="Times New Roman" w:eastAsia="Times New Roman"/>
        </w:rPr>
        <w:t xml:space="preserve">2 </w:t>
      </w:r>
      <w:r>
        <w:t>年。</w:t>
      </w:r>
    </w:p>
    <w:p>
      <w:pPr>
        <w:rPr>
          <w:sz w:val="32"/>
        </w:rPr>
      </w:pPr>
      <w:r>
        <w:rPr>
          <w:sz w:val="32"/>
        </w:rPr>
        <w:br w:type="page"/>
      </w:r>
    </w:p>
    <w:p>
      <w:pPr>
        <w:pStyle w:val="3"/>
        <w:keepNext w:val="0"/>
        <w:keepLines w:val="0"/>
        <w:pageBreakBefore w:val="0"/>
        <w:widowControl w:val="0"/>
        <w:kinsoku/>
        <w:wordWrap/>
        <w:overflowPunct/>
        <w:topLinePunct w:val="0"/>
        <w:bidi w:val="0"/>
        <w:adjustRightInd/>
        <w:snapToGrid/>
        <w:spacing w:line="360" w:lineRule="auto"/>
        <w:ind w:left="0"/>
        <w:jc w:val="center"/>
        <w:textAlignment w:val="auto"/>
      </w:pPr>
      <w:r>
        <w:t>第二章 研究方向和内容</w:t>
      </w:r>
    </w:p>
    <w:p>
      <w:pPr>
        <w:pStyle w:val="4"/>
        <w:keepNext w:val="0"/>
        <w:keepLines w:val="0"/>
        <w:pageBreakBefore w:val="0"/>
        <w:widowControl w:val="0"/>
        <w:kinsoku/>
        <w:wordWrap/>
        <w:overflowPunct/>
        <w:topLinePunct w:val="0"/>
        <w:bidi w:val="0"/>
        <w:adjustRightInd/>
        <w:snapToGrid/>
        <w:spacing w:before="11" w:line="360" w:lineRule="auto"/>
        <w:ind w:left="0" w:firstLine="0"/>
        <w:jc w:val="both"/>
        <w:textAlignment w:val="auto"/>
        <w:rPr>
          <w:b/>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sz w:val="28"/>
          <w:szCs w:val="32"/>
          <w:lang w:val="en-US" w:eastAsia="zh-CN"/>
        </w:rPr>
      </w:pPr>
      <w:r>
        <w:rPr>
          <w:rFonts w:hint="eastAsia" w:ascii="Times New Roman" w:hAnsi="Times New Roman" w:cs="Times New Roman"/>
          <w:sz w:val="28"/>
          <w:szCs w:val="32"/>
          <w:lang w:val="en-US" w:eastAsia="zh-CN"/>
        </w:rPr>
        <w:t>重点实验室将</w:t>
      </w:r>
      <w:r>
        <w:rPr>
          <w:rFonts w:hint="eastAsia" w:ascii="Times New Roman" w:hAnsi="Times New Roman" w:cs="Times New Roman"/>
          <w:sz w:val="28"/>
          <w:szCs w:val="32"/>
          <w:lang w:val="en-US"/>
        </w:rPr>
        <w:t>九龙江河口作为主要研究对象，发展水环境生态观测试验的监测指标、评价基准与试验方法等技术体系，将重点实验室建设成为河口生态安全和环境健康管理及监测的重要平台之一</w:t>
      </w:r>
      <w:r>
        <w:rPr>
          <w:rFonts w:hint="eastAsia" w:ascii="Times New Roman" w:hAnsi="Times New Roman" w:cs="Times New Roman"/>
          <w:sz w:val="28"/>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32"/>
          <w:lang w:val="en-US" w:eastAsia="zh-CN"/>
        </w:rPr>
      </w:pPr>
      <w:r>
        <w:rPr>
          <w:rFonts w:hint="eastAsia" w:ascii="Times New Roman" w:hAnsi="Times New Roman" w:cs="Times New Roman"/>
          <w:sz w:val="28"/>
          <w:szCs w:val="32"/>
          <w:lang w:val="en-US" w:eastAsia="zh-CN"/>
        </w:rPr>
        <w:t>重点实验室的建设</w:t>
      </w:r>
      <w:r>
        <w:rPr>
          <w:rFonts w:hint="eastAsia" w:ascii="Times New Roman" w:hAnsi="Times New Roman" w:cs="Times New Roman"/>
          <w:sz w:val="28"/>
          <w:szCs w:val="32"/>
          <w:lang w:val="en-US"/>
        </w:rPr>
        <w:t>为区域饮用水源安全、水产品及粮食生产的水环境安全、富营养化及水生态退化－灾变的防治、高氮－高磷－毒物污染的防治、质量－容量－总量的研究提供典型生态数据，识别生态环境深层次的关键问题</w:t>
      </w:r>
      <w:r>
        <w:rPr>
          <w:rFonts w:hint="eastAsia" w:ascii="Times New Roman" w:hAnsi="Times New Roman" w:cs="Times New Roman"/>
          <w:sz w:val="28"/>
          <w:szCs w:val="32"/>
          <w:lang w:val="en-US" w:eastAsia="zh-CN"/>
        </w:rPr>
        <w:t>。重点实验室根据福建省环境保护可持续发展的总体目标，分为以下四个方向：</w:t>
      </w:r>
      <w:r>
        <w:rPr>
          <w:rFonts w:hint="eastAsia" w:ascii="Times New Roman" w:hAnsi="Times New Roman" w:cs="Times New Roman"/>
          <w:sz w:val="28"/>
          <w:szCs w:val="32"/>
          <w:lang w:val="en-US"/>
        </w:rPr>
        <w:t>河口湿地生态修复研究</w:t>
      </w:r>
      <w:r>
        <w:rPr>
          <w:rFonts w:hint="eastAsia" w:ascii="Times New Roman" w:hAnsi="Times New Roman" w:cs="Times New Roman"/>
          <w:sz w:val="28"/>
          <w:szCs w:val="32"/>
          <w:lang w:val="en-US" w:eastAsia="zh-CN"/>
        </w:rPr>
        <w:t>、</w:t>
      </w:r>
      <w:r>
        <w:rPr>
          <w:rFonts w:hint="eastAsia" w:ascii="Times New Roman" w:hAnsi="Times New Roman" w:cs="Times New Roman"/>
          <w:sz w:val="28"/>
          <w:szCs w:val="32"/>
          <w:lang w:val="en-US"/>
        </w:rPr>
        <w:t>河口流域特征污染物研究</w:t>
      </w:r>
      <w:r>
        <w:rPr>
          <w:rFonts w:hint="eastAsia" w:ascii="Times New Roman" w:hAnsi="Times New Roman" w:cs="Times New Roman"/>
          <w:sz w:val="28"/>
          <w:szCs w:val="32"/>
          <w:lang w:val="en-US" w:eastAsia="zh-CN"/>
        </w:rPr>
        <w:t>、</w:t>
      </w:r>
      <w:r>
        <w:rPr>
          <w:rFonts w:hint="eastAsia" w:ascii="Times New Roman" w:hAnsi="Times New Roman" w:cs="Times New Roman"/>
          <w:sz w:val="28"/>
          <w:szCs w:val="32"/>
          <w:lang w:val="en-US"/>
        </w:rPr>
        <w:t>饮用水与水产品安全研究</w:t>
      </w:r>
      <w:r>
        <w:rPr>
          <w:rFonts w:hint="eastAsia" w:ascii="Times New Roman" w:hAnsi="Times New Roman" w:cs="Times New Roman"/>
          <w:sz w:val="28"/>
          <w:szCs w:val="32"/>
          <w:lang w:val="en-US" w:eastAsia="zh-CN"/>
        </w:rPr>
        <w:t>、</w:t>
      </w:r>
      <w:r>
        <w:rPr>
          <w:rFonts w:hint="eastAsia" w:ascii="Times New Roman" w:hAnsi="Times New Roman" w:cs="Times New Roman"/>
          <w:sz w:val="28"/>
          <w:szCs w:val="32"/>
          <w:lang w:val="en-US"/>
        </w:rPr>
        <w:t>河口流域水污染监测和防治研究</w:t>
      </w:r>
      <w:r>
        <w:rPr>
          <w:rFonts w:hint="eastAsia" w:ascii="Times New Roman" w:hAnsi="Times New Roman" w:cs="Times New Roman"/>
          <w:sz w:val="28"/>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lang w:val="en-US"/>
        </w:rPr>
      </w:pPr>
      <w:r>
        <w:rPr>
          <w:rFonts w:hint="eastAsia" w:ascii="Times New Roman" w:hAnsi="Times New Roman" w:cs="Times New Roman"/>
          <w:sz w:val="28"/>
          <w:szCs w:val="32"/>
          <w:lang w:val="en-US"/>
        </w:rPr>
        <w:t>重点实验室2022年度开放基金课题拟资助3~5项课题，资助强度为2~5万元/项，重点支持的研究方向如下：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sz w:val="28"/>
          <w:szCs w:val="32"/>
          <w:lang w:val="en-US"/>
        </w:rPr>
      </w:pPr>
      <w:r>
        <w:rPr>
          <w:rFonts w:hint="eastAsia" w:ascii="Times New Roman" w:hAnsi="Times New Roman" w:cs="Times New Roman"/>
          <w:sz w:val="28"/>
          <w:szCs w:val="32"/>
          <w:lang w:val="en-US"/>
        </w:rPr>
        <w:t>1、红树林湿地碳汇（1-2项）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Times New Roman"/>
          <w:sz w:val="28"/>
          <w:szCs w:val="32"/>
          <w:lang w:val="en-US"/>
        </w:rPr>
      </w:pPr>
      <w:r>
        <w:rPr>
          <w:rFonts w:hint="eastAsia" w:ascii="Times New Roman" w:hAnsi="Times New Roman" w:cs="Times New Roman"/>
          <w:sz w:val="28"/>
          <w:szCs w:val="32"/>
          <w:lang w:val="en-US"/>
        </w:rPr>
        <w:t>2、河口湿地污染防治和湿地修复（1项）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lang w:val="en-US"/>
        </w:rPr>
      </w:pPr>
      <w:r>
        <w:rPr>
          <w:rFonts w:hint="eastAsia" w:ascii="Times New Roman" w:hAnsi="Times New Roman" w:cs="Times New Roman"/>
          <w:sz w:val="28"/>
          <w:szCs w:val="32"/>
          <w:lang w:val="en-US"/>
        </w:rPr>
        <w:t>3、速生红树植物糖代谢机制（1~2项）</w:t>
      </w:r>
    </w:p>
    <w:p>
      <w:pPr>
        <w:keepNext w:val="0"/>
        <w:keepLines w:val="0"/>
        <w:pageBreakBefore w:val="0"/>
        <w:widowControl w:val="0"/>
        <w:kinsoku/>
        <w:wordWrap/>
        <w:overflowPunct/>
        <w:topLinePunct w:val="0"/>
        <w:bidi w:val="0"/>
        <w:adjustRightInd/>
        <w:snapToGrid/>
        <w:spacing w:before="156" w:line="360" w:lineRule="auto"/>
        <w:ind w:left="2657"/>
        <w:jc w:val="both"/>
        <w:textAlignment w:val="auto"/>
        <w:rPr>
          <w:b/>
          <w:sz w:val="28"/>
        </w:rPr>
      </w:pPr>
    </w:p>
    <w:p>
      <w:pPr>
        <w:keepNext w:val="0"/>
        <w:keepLines w:val="0"/>
        <w:pageBreakBefore w:val="0"/>
        <w:widowControl w:val="0"/>
        <w:kinsoku/>
        <w:wordWrap/>
        <w:overflowPunct/>
        <w:topLinePunct w:val="0"/>
        <w:bidi w:val="0"/>
        <w:adjustRightInd/>
        <w:snapToGrid/>
        <w:spacing w:before="156" w:line="360" w:lineRule="auto"/>
        <w:ind w:left="2657"/>
        <w:jc w:val="both"/>
        <w:textAlignment w:val="auto"/>
        <w:rPr>
          <w:b/>
          <w:sz w:val="28"/>
        </w:rPr>
      </w:pPr>
      <w:r>
        <w:rPr>
          <w:b/>
          <w:sz w:val="28"/>
        </w:rPr>
        <w:t>第三章 开放基金申请办法</w:t>
      </w:r>
    </w:p>
    <w:p>
      <w:pPr>
        <w:pStyle w:val="4"/>
        <w:keepNext w:val="0"/>
        <w:keepLines w:val="0"/>
        <w:pageBreakBefore w:val="0"/>
        <w:widowControl w:val="0"/>
        <w:kinsoku/>
        <w:wordWrap/>
        <w:overflowPunct/>
        <w:topLinePunct w:val="0"/>
        <w:bidi w:val="0"/>
        <w:adjustRightInd/>
        <w:snapToGrid/>
        <w:spacing w:before="10"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374"/>
        <w:jc w:val="both"/>
        <w:textAlignment w:val="auto"/>
      </w:pPr>
      <w:r>
        <w:rPr>
          <w:rFonts w:ascii="Times New Roman" w:eastAsia="Times New Roman"/>
        </w:rPr>
        <w:t>1</w:t>
      </w:r>
      <w:r>
        <w:rPr>
          <w:spacing w:val="-1"/>
        </w:rPr>
        <w:t>、凡从事</w:t>
      </w:r>
      <w:r>
        <w:rPr>
          <w:rFonts w:hint="eastAsia"/>
          <w:spacing w:val="-1"/>
          <w:lang w:val="en-US" w:eastAsia="zh-CN"/>
        </w:rPr>
        <w:t>河口生态安全与环境健康</w:t>
      </w:r>
      <w:r>
        <w:rPr>
          <w:spacing w:val="-1"/>
        </w:rPr>
        <w:t>有关的国内</w:t>
      </w:r>
      <w:r>
        <w:rPr>
          <w:spacing w:val="-11"/>
        </w:rPr>
        <w:t>外高级、中级科技人员、青年科技工作者及博士研究生、在研博士后均及相应水平的国内外学者均可申请本</w:t>
      </w:r>
      <w:r>
        <w:rPr>
          <w:rFonts w:hint="eastAsia"/>
          <w:spacing w:val="-11"/>
        </w:rPr>
        <w:t>重点</w:t>
      </w:r>
      <w:r>
        <w:rPr>
          <w:spacing w:val="-11"/>
        </w:rPr>
        <w:t>实验室的开放基金。但本</w:t>
      </w:r>
      <w:r>
        <w:rPr>
          <w:rFonts w:hint="eastAsia"/>
          <w:spacing w:val="-11"/>
        </w:rPr>
        <w:t>重点</w:t>
      </w:r>
      <w:r>
        <w:rPr>
          <w:spacing w:val="-11"/>
        </w:rPr>
        <w:t>实验</w:t>
      </w:r>
      <w:r>
        <w:rPr>
          <w:spacing w:val="-9"/>
        </w:rPr>
        <w:t>室固定人员不得承担开放基金项目</w:t>
      </w:r>
      <w:r>
        <w:rPr>
          <w:spacing w:val="-3"/>
        </w:rPr>
        <w:t>。</w:t>
      </w:r>
    </w:p>
    <w:p>
      <w:pPr>
        <w:pStyle w:val="4"/>
        <w:keepNext w:val="0"/>
        <w:keepLines w:val="0"/>
        <w:pageBreakBefore w:val="0"/>
        <w:widowControl w:val="0"/>
        <w:kinsoku/>
        <w:wordWrap/>
        <w:overflowPunct/>
        <w:topLinePunct w:val="0"/>
        <w:bidi w:val="0"/>
        <w:adjustRightInd/>
        <w:snapToGrid/>
        <w:spacing w:line="360" w:lineRule="auto"/>
        <w:ind w:right="378"/>
        <w:jc w:val="both"/>
        <w:textAlignment w:val="auto"/>
      </w:pPr>
      <w:r>
        <w:rPr>
          <w:rFonts w:ascii="Times New Roman" w:eastAsia="Times New Roman"/>
        </w:rPr>
        <w:t>2</w:t>
      </w:r>
      <w:r>
        <w:t>、申请本实验室开放基金资助的研究课题，必须符合本实验室的研究方向，属于本实验室研究内容的范畴。</w:t>
      </w:r>
    </w:p>
    <w:p>
      <w:pPr>
        <w:pStyle w:val="4"/>
        <w:keepNext w:val="0"/>
        <w:keepLines w:val="0"/>
        <w:pageBreakBefore w:val="0"/>
        <w:widowControl w:val="0"/>
        <w:kinsoku/>
        <w:wordWrap/>
        <w:overflowPunct/>
        <w:topLinePunct w:val="0"/>
        <w:bidi w:val="0"/>
        <w:adjustRightInd/>
        <w:snapToGrid/>
        <w:spacing w:line="360" w:lineRule="auto"/>
        <w:ind w:right="378"/>
        <w:jc w:val="both"/>
        <w:textAlignment w:val="auto"/>
      </w:pPr>
      <w:r>
        <w:rPr>
          <w:rFonts w:ascii="Times New Roman" w:eastAsia="Times New Roman"/>
        </w:rPr>
        <w:t>3</w:t>
      </w:r>
      <w:r>
        <w:rPr>
          <w:spacing w:val="-1"/>
        </w:rPr>
        <w:t>、申请者必须在实验室规定的时间内向本实验室提交课题申请</w:t>
      </w:r>
      <w:r>
        <w:rPr>
          <w:spacing w:val="-8"/>
        </w:rPr>
        <w:t>书一式四份及相关电子文档</w:t>
      </w:r>
      <w:r>
        <w:rPr>
          <w:rFonts w:ascii="Times New Roman" w:eastAsia="Times New Roman"/>
        </w:rPr>
        <w:t>1</w:t>
      </w:r>
      <w:r>
        <w:rPr>
          <w:spacing w:val="-12"/>
        </w:rPr>
        <w:t>份。纸质申请书应由所在单位和合作单</w:t>
      </w:r>
      <w:r>
        <w:rPr>
          <w:spacing w:val="-9"/>
        </w:rPr>
        <w:t>位签署意见并盖章方才有效。申请者同期只能申请一项，每个课题的申请者限为一人。申请者</w:t>
      </w:r>
      <w:r>
        <w:rPr>
          <w:spacing w:val="-11"/>
        </w:rPr>
        <w:t>和具有高级专业技术职务的课题组主要成员，当年申请及承担</w:t>
      </w:r>
      <w:r>
        <w:t>（</w:t>
      </w:r>
      <w:r>
        <w:rPr>
          <w:spacing w:val="-2"/>
        </w:rPr>
        <w:t>含参加</w:t>
      </w:r>
      <w:r>
        <w:rPr>
          <w:spacing w:val="-49"/>
        </w:rPr>
        <w:t>）</w:t>
      </w:r>
      <w:r>
        <w:rPr>
          <w:spacing w:val="-7"/>
        </w:rPr>
        <w:t>在研的自主研究课题数合计不得超过两项。不具有高级专业技术</w:t>
      </w:r>
      <w:r>
        <w:rPr>
          <w:spacing w:val="-11"/>
        </w:rPr>
        <w:t>职务的申请者，当年申请及负责在研的自主研究课题数合计不得超过</w:t>
      </w:r>
      <w:r>
        <w:rPr>
          <w:spacing w:val="-7"/>
        </w:rPr>
        <w:t>一项，但参加项数不限。</w:t>
      </w:r>
    </w:p>
    <w:p>
      <w:pPr>
        <w:pStyle w:val="4"/>
        <w:keepNext w:val="0"/>
        <w:keepLines w:val="0"/>
        <w:pageBreakBefore w:val="0"/>
        <w:widowControl w:val="0"/>
        <w:kinsoku/>
        <w:wordWrap/>
        <w:overflowPunct/>
        <w:topLinePunct w:val="0"/>
        <w:bidi w:val="0"/>
        <w:adjustRightInd/>
        <w:snapToGrid/>
        <w:spacing w:line="360" w:lineRule="auto"/>
        <w:ind w:right="375"/>
        <w:jc w:val="both"/>
        <w:textAlignment w:val="auto"/>
      </w:pPr>
      <w:r>
        <w:rPr>
          <w:rFonts w:ascii="Times New Roman" w:eastAsia="Times New Roman"/>
        </w:rPr>
        <w:t>4</w:t>
      </w:r>
      <w:r>
        <w:rPr>
          <w:b/>
        </w:rPr>
        <w:t>、</w:t>
      </w:r>
      <w:r>
        <w:rPr>
          <w:spacing w:val="-1"/>
        </w:rPr>
        <w:t>实验室资助研究课题的开放基金主要用于调研费、实验费、</w:t>
      </w:r>
      <w:r>
        <w:rPr>
          <w:spacing w:val="-10"/>
        </w:rPr>
        <w:t>分析测试费、药品试剂器材等费用，同时也包括研究者的住宿、交通</w:t>
      </w:r>
      <w:r>
        <w:rPr>
          <w:spacing w:val="-12"/>
        </w:rPr>
        <w:t>费等。申请者必须本着实事求是的原则申请资助金额，资助强度一般</w:t>
      </w:r>
    </w:p>
    <w:p>
      <w:pPr>
        <w:pStyle w:val="4"/>
        <w:keepNext w:val="0"/>
        <w:keepLines w:val="0"/>
        <w:pageBreakBefore w:val="0"/>
        <w:widowControl w:val="0"/>
        <w:kinsoku/>
        <w:wordWrap/>
        <w:overflowPunct/>
        <w:topLinePunct w:val="0"/>
        <w:bidi w:val="0"/>
        <w:adjustRightInd/>
        <w:snapToGrid/>
        <w:spacing w:line="360" w:lineRule="auto"/>
        <w:ind w:firstLine="0"/>
        <w:jc w:val="both"/>
        <w:textAlignment w:val="auto"/>
      </w:pPr>
      <w:r>
        <w:t>为每项</w:t>
      </w:r>
      <w:r>
        <w:rPr>
          <w:rFonts w:ascii="Times New Roman" w:eastAsia="Times New Roman"/>
        </w:rPr>
        <w:t>2~</w:t>
      </w:r>
      <w:r>
        <w:rPr>
          <w:rFonts w:hint="eastAsia" w:asciiTheme="minorEastAsia" w:hAnsiTheme="minorEastAsia" w:eastAsiaTheme="minorEastAsia"/>
        </w:rPr>
        <w:t>5</w:t>
      </w:r>
      <w:r>
        <w:t>万元</w:t>
      </w:r>
      <w:r>
        <w:rPr>
          <w:rFonts w:hint="eastAsia"/>
          <w:lang w:eastAsia="zh-CN"/>
        </w:rPr>
        <w:t>。</w:t>
      </w:r>
      <w:r>
        <w:rPr>
          <w:rFonts w:hint="eastAsia"/>
          <w:lang w:val="en-US" w:eastAsia="zh-CN"/>
        </w:rPr>
        <w:t>经费来源于重点实验室内部成员的科研经费</w:t>
      </w:r>
      <w:r>
        <w:t>。</w:t>
      </w:r>
    </w:p>
    <w:p>
      <w:pPr>
        <w:pStyle w:val="4"/>
        <w:keepNext w:val="0"/>
        <w:keepLines w:val="0"/>
        <w:pageBreakBefore w:val="0"/>
        <w:widowControl w:val="0"/>
        <w:numPr>
          <w:ilvl w:val="0"/>
          <w:numId w:val="2"/>
        </w:numPr>
        <w:kinsoku/>
        <w:wordWrap/>
        <w:overflowPunct/>
        <w:topLinePunct w:val="0"/>
        <w:bidi w:val="0"/>
        <w:adjustRightInd/>
        <w:snapToGrid/>
        <w:spacing w:line="360" w:lineRule="auto"/>
        <w:ind w:firstLine="560" w:firstLineChars="200"/>
        <w:jc w:val="both"/>
        <w:textAlignment w:val="auto"/>
      </w:pPr>
      <w:r>
        <w:t>每年受理开放基金的申报截止日期为当年</w:t>
      </w:r>
      <w:r>
        <w:rPr>
          <w:rFonts w:ascii="Times New Roman" w:eastAsia="Times New Roman"/>
        </w:rPr>
        <w:t>12</w:t>
      </w:r>
      <w:r>
        <w:t>月</w:t>
      </w:r>
      <w:r>
        <w:rPr>
          <w:rFonts w:ascii="Times New Roman" w:eastAsia="Times New Roman"/>
        </w:rPr>
        <w:t>31</w:t>
      </w:r>
      <w:r>
        <w:t>日。</w:t>
      </w:r>
    </w:p>
    <w:p>
      <w:pPr>
        <w:pStyle w:val="4"/>
        <w:keepNext w:val="0"/>
        <w:keepLines w:val="0"/>
        <w:pageBreakBefore w:val="0"/>
        <w:widowControl w:val="0"/>
        <w:numPr>
          <w:ilvl w:val="0"/>
          <w:numId w:val="2"/>
        </w:numPr>
        <w:kinsoku/>
        <w:wordWrap/>
        <w:overflowPunct/>
        <w:topLinePunct w:val="0"/>
        <w:bidi w:val="0"/>
        <w:adjustRightInd/>
        <w:snapToGrid/>
        <w:spacing w:line="360" w:lineRule="auto"/>
        <w:ind w:firstLine="556" w:firstLineChars="200"/>
        <w:jc w:val="both"/>
        <w:textAlignment w:val="auto"/>
      </w:pPr>
      <w:r>
        <w:rPr>
          <w:spacing w:val="-1"/>
        </w:rPr>
        <w:t>对于具有重大意义的基础理论研究课题，处于本学科发展前</w:t>
      </w:r>
      <w:r>
        <w:rPr>
          <w:spacing w:val="-11"/>
        </w:rPr>
        <w:t>沿的研究课题，国际合作研究课题以及优秀青年科技工作者，本实验</w:t>
      </w:r>
      <w:r>
        <w:rPr>
          <w:spacing w:val="-3"/>
        </w:rPr>
        <w:t>室将优先予以支持，并酌情加大资助力度。</w:t>
      </w:r>
    </w:p>
    <w:p>
      <w:pPr>
        <w:pStyle w:val="4"/>
        <w:keepNext w:val="0"/>
        <w:keepLines w:val="0"/>
        <w:pageBreakBefore w:val="0"/>
        <w:widowControl w:val="0"/>
        <w:kinsoku/>
        <w:wordWrap/>
        <w:overflowPunct/>
        <w:topLinePunct w:val="0"/>
        <w:bidi w:val="0"/>
        <w:adjustRightInd/>
        <w:snapToGrid/>
        <w:spacing w:before="3" w:line="360" w:lineRule="auto"/>
        <w:ind w:left="0" w:firstLine="0"/>
        <w:jc w:val="both"/>
        <w:textAlignment w:val="auto"/>
        <w:rPr>
          <w:sz w:val="22"/>
        </w:rPr>
      </w:pPr>
    </w:p>
    <w:p>
      <w:pPr>
        <w:pStyle w:val="3"/>
        <w:keepNext w:val="0"/>
        <w:keepLines w:val="0"/>
        <w:pageBreakBefore w:val="0"/>
        <w:widowControl w:val="0"/>
        <w:kinsoku/>
        <w:wordWrap/>
        <w:overflowPunct/>
        <w:topLinePunct w:val="0"/>
        <w:bidi w:val="0"/>
        <w:adjustRightInd/>
        <w:snapToGrid/>
        <w:spacing w:line="360" w:lineRule="auto"/>
        <w:ind w:left="275" w:right="530"/>
        <w:jc w:val="center"/>
        <w:textAlignment w:val="auto"/>
      </w:pPr>
      <w:r>
        <w:t>第四章 开放基金审批</w:t>
      </w:r>
    </w:p>
    <w:p>
      <w:pPr>
        <w:pStyle w:val="4"/>
        <w:keepNext w:val="0"/>
        <w:keepLines w:val="0"/>
        <w:pageBreakBefore w:val="0"/>
        <w:widowControl w:val="0"/>
        <w:kinsoku/>
        <w:wordWrap/>
        <w:overflowPunct/>
        <w:topLinePunct w:val="0"/>
        <w:bidi w:val="0"/>
        <w:adjustRightInd/>
        <w:snapToGrid/>
        <w:spacing w:before="10"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239"/>
        <w:jc w:val="both"/>
        <w:textAlignment w:val="auto"/>
      </w:pPr>
      <w:r>
        <w:rPr>
          <w:rFonts w:hint="eastAsia"/>
          <w:spacing w:val="-8"/>
        </w:rPr>
        <w:t>重点</w:t>
      </w:r>
      <w:r>
        <w:rPr>
          <w:spacing w:val="-8"/>
        </w:rPr>
        <w:t>实验室将对符合要求的所有申请书提出初审意见，然后提交本实</w:t>
      </w:r>
      <w:r>
        <w:rPr>
          <w:spacing w:val="-19"/>
        </w:rPr>
        <w:t>验室学术委员会进行复审、终审和批准，最后由实验室主任组织实施。</w:t>
      </w:r>
      <w:r>
        <w:rPr>
          <w:spacing w:val="-10"/>
        </w:rPr>
        <w:t>学术委员会闭会期间，为及时处理某些重要课题，实验室主任可以邀</w:t>
      </w:r>
      <w:r>
        <w:rPr>
          <w:spacing w:val="-9"/>
        </w:rPr>
        <w:t>请三至五位学术委员对申请课题进行书面评审，并将评审结果通报学</w:t>
      </w:r>
      <w:r>
        <w:rPr>
          <w:spacing w:val="-1"/>
        </w:rPr>
        <w:t>术委员会成员。</w:t>
      </w:r>
    </w:p>
    <w:p>
      <w:pPr>
        <w:pStyle w:val="4"/>
        <w:keepNext w:val="0"/>
        <w:keepLines w:val="0"/>
        <w:pageBreakBefore w:val="0"/>
        <w:widowControl w:val="0"/>
        <w:kinsoku/>
        <w:wordWrap/>
        <w:overflowPunct/>
        <w:topLinePunct w:val="0"/>
        <w:bidi w:val="0"/>
        <w:adjustRightInd/>
        <w:snapToGrid/>
        <w:spacing w:line="360" w:lineRule="auto"/>
        <w:ind w:right="378"/>
        <w:jc w:val="both"/>
        <w:textAlignment w:val="auto"/>
      </w:pPr>
      <w:r>
        <w:rPr>
          <w:spacing w:val="-8"/>
        </w:rPr>
        <w:t>开放基金的评审结果由本实验室正</w:t>
      </w:r>
      <w:bookmarkStart w:id="0" w:name="_GoBack"/>
      <w:bookmarkEnd w:id="0"/>
      <w:r>
        <w:rPr>
          <w:spacing w:val="-8"/>
        </w:rPr>
        <w:t>式通知申请者及所在单位，并</w:t>
      </w:r>
      <w:r>
        <w:rPr>
          <w:spacing w:val="-12"/>
        </w:rPr>
        <w:t>在本实验室主页上公布。参加评审的有关人员对评审工作中个人发表</w:t>
      </w:r>
      <w:r>
        <w:rPr>
          <w:spacing w:val="-3"/>
        </w:rPr>
        <w:t>的意见及申请者的研究技术方案等材料严格保密。</w:t>
      </w:r>
    </w:p>
    <w:p>
      <w:pPr>
        <w:pStyle w:val="4"/>
        <w:keepNext w:val="0"/>
        <w:keepLines w:val="0"/>
        <w:pageBreakBefore w:val="0"/>
        <w:widowControl w:val="0"/>
        <w:kinsoku/>
        <w:wordWrap/>
        <w:overflowPunct/>
        <w:topLinePunct w:val="0"/>
        <w:bidi w:val="0"/>
        <w:adjustRightInd/>
        <w:snapToGrid/>
        <w:spacing w:before="1" w:line="360" w:lineRule="auto"/>
        <w:ind w:left="0" w:firstLine="0"/>
        <w:jc w:val="both"/>
        <w:textAlignment w:val="auto"/>
        <w:rPr>
          <w:sz w:val="22"/>
        </w:rPr>
      </w:pPr>
    </w:p>
    <w:p>
      <w:pPr>
        <w:pStyle w:val="3"/>
        <w:keepNext w:val="0"/>
        <w:keepLines w:val="0"/>
        <w:pageBreakBefore w:val="0"/>
        <w:widowControl w:val="0"/>
        <w:kinsoku/>
        <w:wordWrap/>
        <w:overflowPunct/>
        <w:topLinePunct w:val="0"/>
        <w:bidi w:val="0"/>
        <w:adjustRightInd/>
        <w:snapToGrid/>
        <w:spacing w:line="360" w:lineRule="auto"/>
        <w:jc w:val="both"/>
        <w:textAlignment w:val="auto"/>
      </w:pPr>
      <w:r>
        <w:t>第五章 工作方式</w:t>
      </w:r>
    </w:p>
    <w:p>
      <w:pPr>
        <w:pStyle w:val="4"/>
        <w:keepNext w:val="0"/>
        <w:keepLines w:val="0"/>
        <w:pageBreakBefore w:val="0"/>
        <w:widowControl w:val="0"/>
        <w:kinsoku/>
        <w:wordWrap/>
        <w:overflowPunct/>
        <w:topLinePunct w:val="0"/>
        <w:bidi w:val="0"/>
        <w:adjustRightInd/>
        <w:snapToGrid/>
        <w:spacing w:before="10"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375"/>
        <w:jc w:val="both"/>
        <w:textAlignment w:val="auto"/>
      </w:pPr>
      <w:r>
        <w:rPr>
          <w:spacing w:val="-8"/>
        </w:rPr>
        <w:t>开放基金获得者即成为本实验室的流动人员。同时，在研究课题</w:t>
      </w:r>
      <w:r>
        <w:rPr>
          <w:spacing w:val="-13"/>
        </w:rPr>
        <w:t>实施期间，</w:t>
      </w:r>
      <w:r>
        <w:rPr>
          <w:rFonts w:hint="eastAsia"/>
          <w:spacing w:val="-13"/>
        </w:rPr>
        <w:t>可</w:t>
      </w:r>
      <w:r>
        <w:rPr>
          <w:spacing w:val="-13"/>
        </w:rPr>
        <w:t>作为本实验室的访问学者</w:t>
      </w:r>
      <w:r>
        <w:rPr>
          <w:spacing w:val="-3"/>
        </w:rPr>
        <w:t>。</w:t>
      </w:r>
      <w:r>
        <w:rPr>
          <w:spacing w:val="-11"/>
        </w:rPr>
        <w:t>由本实验室资助经费购买的器材、设备一律归为本实验室的固定资产；购买的药品、试剂等消耗性材料，在课题完成后剩余部分留给</w:t>
      </w:r>
      <w:r>
        <w:rPr>
          <w:spacing w:val="-7"/>
        </w:rPr>
        <w:t>本实验室资助其它课题使用。</w:t>
      </w:r>
    </w:p>
    <w:p>
      <w:pPr>
        <w:pStyle w:val="4"/>
        <w:keepNext w:val="0"/>
        <w:keepLines w:val="0"/>
        <w:pageBreakBefore w:val="0"/>
        <w:widowControl w:val="0"/>
        <w:kinsoku/>
        <w:wordWrap/>
        <w:overflowPunct/>
        <w:topLinePunct w:val="0"/>
        <w:bidi w:val="0"/>
        <w:adjustRightInd/>
        <w:snapToGrid/>
        <w:spacing w:before="8" w:line="360" w:lineRule="auto"/>
        <w:ind w:left="0" w:firstLine="0"/>
        <w:jc w:val="both"/>
        <w:textAlignment w:val="auto"/>
        <w:rPr>
          <w:sz w:val="21"/>
        </w:rPr>
      </w:pPr>
    </w:p>
    <w:p>
      <w:pPr>
        <w:pStyle w:val="3"/>
        <w:keepNext w:val="0"/>
        <w:keepLines w:val="0"/>
        <w:pageBreakBefore w:val="0"/>
        <w:widowControl w:val="0"/>
        <w:kinsoku/>
        <w:wordWrap/>
        <w:overflowPunct/>
        <w:topLinePunct w:val="0"/>
        <w:bidi w:val="0"/>
        <w:adjustRightInd/>
        <w:snapToGrid/>
        <w:spacing w:before="1" w:line="360" w:lineRule="auto"/>
        <w:jc w:val="both"/>
        <w:textAlignment w:val="auto"/>
      </w:pPr>
      <w:r>
        <w:t>第六章 经费管理</w:t>
      </w:r>
    </w:p>
    <w:p>
      <w:pPr>
        <w:pStyle w:val="4"/>
        <w:keepNext w:val="0"/>
        <w:keepLines w:val="0"/>
        <w:pageBreakBefore w:val="0"/>
        <w:widowControl w:val="0"/>
        <w:kinsoku/>
        <w:wordWrap/>
        <w:overflowPunct/>
        <w:topLinePunct w:val="0"/>
        <w:bidi w:val="0"/>
        <w:adjustRightInd/>
        <w:snapToGrid/>
        <w:spacing w:before="9"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378"/>
        <w:jc w:val="both"/>
        <w:textAlignment w:val="auto"/>
        <w:rPr>
          <w:rFonts w:hint="default" w:eastAsia="仿宋"/>
          <w:spacing w:val="-3"/>
          <w:lang w:val="en-US" w:eastAsia="zh-CN"/>
        </w:rPr>
      </w:pPr>
      <w:r>
        <w:rPr>
          <w:spacing w:val="-10"/>
        </w:rPr>
        <w:t>资助经费实行一次核定，</w:t>
      </w:r>
      <w:r>
        <w:rPr>
          <w:rFonts w:hint="eastAsia"/>
          <w:spacing w:val="-10"/>
        </w:rPr>
        <w:t>采取经费报销制度，不拨款到</w:t>
      </w:r>
      <w:r>
        <w:t>课题负责人所在单位</w:t>
      </w:r>
      <w:r>
        <w:rPr>
          <w:spacing w:val="-3"/>
        </w:rPr>
        <w:t>。</w:t>
      </w:r>
      <w:r>
        <w:rPr>
          <w:spacing w:val="-13"/>
        </w:rPr>
        <w:t>在财政制度规定范围内，课题承担者有权按照工作计划的安排支</w:t>
      </w:r>
      <w:r>
        <w:rPr>
          <w:spacing w:val="-11"/>
        </w:rPr>
        <w:t>配费用的使用。对于经费使用不合理或不按进度完成计划课题者，实</w:t>
      </w:r>
      <w:r>
        <w:rPr>
          <w:spacing w:val="-3"/>
        </w:rPr>
        <w:t>验室主任有权调整或停拨资助经费。</w:t>
      </w:r>
      <w:r>
        <w:rPr>
          <w:rFonts w:hint="eastAsia"/>
          <w:spacing w:val="-3"/>
          <w:lang w:val="en-US" w:eastAsia="zh-CN"/>
        </w:rPr>
        <w:t>经费报销遵循《厦门大学嘉庚学院纵向科研经费管理办法》。</w:t>
      </w:r>
    </w:p>
    <w:p>
      <w:pPr>
        <w:pStyle w:val="4"/>
        <w:keepNext w:val="0"/>
        <w:keepLines w:val="0"/>
        <w:pageBreakBefore w:val="0"/>
        <w:widowControl w:val="0"/>
        <w:kinsoku/>
        <w:wordWrap/>
        <w:overflowPunct/>
        <w:topLinePunct w:val="0"/>
        <w:bidi w:val="0"/>
        <w:adjustRightInd/>
        <w:snapToGrid/>
        <w:spacing w:line="360" w:lineRule="auto"/>
        <w:ind w:right="376" w:firstLine="698"/>
        <w:jc w:val="both"/>
        <w:textAlignment w:val="auto"/>
      </w:pPr>
      <w:r>
        <w:rPr>
          <w:spacing w:val="-1"/>
        </w:rPr>
        <w:t>按进度计划完成资助课题且成果特别优秀的客座研究人员，本</w:t>
      </w:r>
      <w:r>
        <w:rPr>
          <w:spacing w:val="-3"/>
        </w:rPr>
        <w:t>实验室可以从对其资助的经费中拨出少量款项</w:t>
      </w:r>
      <w:r>
        <w:t>（</w:t>
      </w:r>
      <w:r>
        <w:rPr>
          <w:spacing w:val="-7"/>
        </w:rPr>
        <w:t>资助额度的</w:t>
      </w:r>
      <w:r>
        <w:rPr>
          <w:rFonts w:ascii="Times New Roman" w:eastAsia="Times New Roman"/>
          <w:spacing w:val="-4"/>
        </w:rPr>
        <w:t>5%</w:t>
      </w:r>
      <w:r>
        <w:rPr>
          <w:spacing w:val="-4"/>
        </w:rPr>
        <w:t>），</w:t>
      </w:r>
      <w:r>
        <w:rPr>
          <w:spacing w:val="-3"/>
        </w:rPr>
        <w:t>作为科研津贴发放。</w:t>
      </w:r>
    </w:p>
    <w:p>
      <w:pPr>
        <w:pStyle w:val="4"/>
        <w:keepNext w:val="0"/>
        <w:keepLines w:val="0"/>
        <w:pageBreakBefore w:val="0"/>
        <w:widowControl w:val="0"/>
        <w:kinsoku/>
        <w:wordWrap/>
        <w:overflowPunct/>
        <w:topLinePunct w:val="0"/>
        <w:bidi w:val="0"/>
        <w:adjustRightInd/>
        <w:snapToGrid/>
        <w:spacing w:before="1" w:line="360" w:lineRule="auto"/>
        <w:ind w:left="0" w:firstLine="0"/>
        <w:jc w:val="both"/>
        <w:textAlignment w:val="auto"/>
        <w:rPr>
          <w:sz w:val="22"/>
        </w:rPr>
      </w:pPr>
    </w:p>
    <w:p>
      <w:pPr>
        <w:pStyle w:val="3"/>
        <w:keepNext w:val="0"/>
        <w:keepLines w:val="0"/>
        <w:pageBreakBefore w:val="0"/>
        <w:widowControl w:val="0"/>
        <w:kinsoku/>
        <w:wordWrap/>
        <w:overflowPunct/>
        <w:topLinePunct w:val="0"/>
        <w:bidi w:val="0"/>
        <w:adjustRightInd/>
        <w:snapToGrid/>
        <w:spacing w:line="360" w:lineRule="auto"/>
        <w:jc w:val="both"/>
        <w:textAlignment w:val="auto"/>
      </w:pPr>
      <w:r>
        <w:t>第七章 课题管理</w:t>
      </w:r>
    </w:p>
    <w:p>
      <w:pPr>
        <w:pStyle w:val="4"/>
        <w:keepNext w:val="0"/>
        <w:keepLines w:val="0"/>
        <w:pageBreakBefore w:val="0"/>
        <w:widowControl w:val="0"/>
        <w:kinsoku/>
        <w:wordWrap/>
        <w:overflowPunct/>
        <w:topLinePunct w:val="0"/>
        <w:bidi w:val="0"/>
        <w:adjustRightInd/>
        <w:snapToGrid/>
        <w:spacing w:before="10"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375"/>
        <w:jc w:val="both"/>
        <w:textAlignment w:val="auto"/>
      </w:pPr>
      <w:r>
        <w:rPr>
          <w:spacing w:val="-9"/>
        </w:rPr>
        <w:t>基金申请者在接到批准资助通知后，应根据批准金额、研究年限</w:t>
      </w:r>
      <w:r>
        <w:rPr>
          <w:spacing w:val="-11"/>
        </w:rPr>
        <w:t>和评审意见，在一个月内编写研究工作计划，报实验室核准后开始进</w:t>
      </w:r>
      <w:r>
        <w:rPr>
          <w:spacing w:val="-1"/>
        </w:rPr>
        <w:t>行研究工作。</w:t>
      </w:r>
    </w:p>
    <w:p>
      <w:pPr>
        <w:pStyle w:val="4"/>
        <w:keepNext w:val="0"/>
        <w:keepLines w:val="0"/>
        <w:pageBreakBefore w:val="0"/>
        <w:widowControl w:val="0"/>
        <w:kinsoku/>
        <w:wordWrap/>
        <w:overflowPunct/>
        <w:topLinePunct w:val="0"/>
        <w:bidi w:val="0"/>
        <w:adjustRightInd/>
        <w:snapToGrid/>
        <w:spacing w:line="360" w:lineRule="auto"/>
        <w:ind w:right="375"/>
        <w:jc w:val="both"/>
        <w:textAlignment w:val="auto"/>
      </w:pPr>
      <w:r>
        <w:rPr>
          <w:spacing w:val="-7"/>
        </w:rPr>
        <w:t>本实验室有权对资助课题的工作进展情况随时进行检查，以便及</w:t>
      </w:r>
      <w:r>
        <w:rPr>
          <w:spacing w:val="-12"/>
        </w:rPr>
        <w:t>时改进工作，对经费使用不当或难以继续完成任务者，将设法予以纠</w:t>
      </w:r>
      <w:r>
        <w:rPr>
          <w:spacing w:val="-1"/>
        </w:rPr>
        <w:t>正或停止资助。</w:t>
      </w:r>
    </w:p>
    <w:p>
      <w:pPr>
        <w:pStyle w:val="4"/>
        <w:keepNext w:val="0"/>
        <w:keepLines w:val="0"/>
        <w:pageBreakBefore w:val="0"/>
        <w:widowControl w:val="0"/>
        <w:kinsoku/>
        <w:wordWrap/>
        <w:overflowPunct/>
        <w:topLinePunct w:val="0"/>
        <w:bidi w:val="0"/>
        <w:adjustRightInd/>
        <w:snapToGrid/>
        <w:spacing w:line="360" w:lineRule="auto"/>
        <w:ind w:right="378"/>
        <w:jc w:val="both"/>
        <w:textAlignment w:val="auto"/>
        <w:rPr>
          <w:spacing w:val="-3"/>
        </w:rPr>
      </w:pPr>
      <w:r>
        <w:rPr>
          <w:spacing w:val="-13"/>
        </w:rPr>
        <w:t>在规定的课题执行期间，承担者不得无故中断研究工作或延长工</w:t>
      </w:r>
      <w:r>
        <w:rPr>
          <w:spacing w:val="-11"/>
        </w:rPr>
        <w:t>作期限。对因客观条件影响课题研究进度，或在原有目标达到后，确</w:t>
      </w:r>
      <w:r>
        <w:rPr>
          <w:spacing w:val="-8"/>
        </w:rPr>
        <w:t>有必要由原承担者继续对该课题进行更深入地研究时，经课题承担者</w:t>
      </w:r>
      <w:r>
        <w:rPr>
          <w:spacing w:val="-11"/>
        </w:rPr>
        <w:t>提出申请，</w:t>
      </w:r>
      <w:r>
        <w:rPr>
          <w:rFonts w:hint="eastAsia"/>
          <w:spacing w:val="-11"/>
        </w:rPr>
        <w:t>重点</w:t>
      </w:r>
      <w:r>
        <w:rPr>
          <w:spacing w:val="-11"/>
        </w:rPr>
        <w:t>实验室主任批准并邀请三至五位学术委员书面同意后，可</w:t>
      </w:r>
      <w:r>
        <w:rPr>
          <w:spacing w:val="-3"/>
        </w:rPr>
        <w:t>适当延长工作期限。</w:t>
      </w:r>
    </w:p>
    <w:p>
      <w:pPr>
        <w:pStyle w:val="3"/>
        <w:keepNext w:val="0"/>
        <w:keepLines w:val="0"/>
        <w:pageBreakBefore w:val="0"/>
        <w:widowControl w:val="0"/>
        <w:kinsoku/>
        <w:wordWrap/>
        <w:overflowPunct/>
        <w:topLinePunct w:val="0"/>
        <w:bidi w:val="0"/>
        <w:adjustRightInd/>
        <w:snapToGrid/>
        <w:spacing w:before="130" w:line="360" w:lineRule="auto"/>
        <w:jc w:val="both"/>
        <w:textAlignment w:val="auto"/>
      </w:pPr>
      <w:r>
        <w:t>第八章 成果管理</w:t>
      </w:r>
    </w:p>
    <w:p>
      <w:pPr>
        <w:pStyle w:val="4"/>
        <w:keepNext w:val="0"/>
        <w:keepLines w:val="0"/>
        <w:pageBreakBefore w:val="0"/>
        <w:widowControl w:val="0"/>
        <w:kinsoku/>
        <w:wordWrap/>
        <w:overflowPunct/>
        <w:topLinePunct w:val="0"/>
        <w:bidi w:val="0"/>
        <w:adjustRightInd/>
        <w:snapToGrid/>
        <w:spacing w:before="10" w:line="360" w:lineRule="auto"/>
        <w:ind w:left="0" w:firstLine="0"/>
        <w:jc w:val="both"/>
        <w:textAlignment w:val="auto"/>
        <w:rPr>
          <w:b/>
          <w:sz w:val="22"/>
        </w:rPr>
      </w:pPr>
    </w:p>
    <w:p>
      <w:pPr>
        <w:pStyle w:val="4"/>
        <w:keepNext w:val="0"/>
        <w:keepLines w:val="0"/>
        <w:pageBreakBefore w:val="0"/>
        <w:widowControl w:val="0"/>
        <w:kinsoku/>
        <w:wordWrap/>
        <w:overflowPunct/>
        <w:topLinePunct w:val="0"/>
        <w:bidi w:val="0"/>
        <w:adjustRightInd/>
        <w:snapToGrid/>
        <w:spacing w:line="360" w:lineRule="auto"/>
        <w:ind w:right="373"/>
        <w:jc w:val="both"/>
        <w:textAlignment w:val="auto"/>
      </w:pPr>
      <w:r>
        <w:rPr>
          <w:spacing w:val="-8"/>
        </w:rPr>
        <w:t>凡本实验室开放基金资助课题的研究成果，应主要以论文的形式</w:t>
      </w:r>
      <w:r>
        <w:rPr>
          <w:spacing w:val="-7"/>
        </w:rPr>
        <w:t>在国内外公开刊物上发表，每个资助课题应在国外期刊发表</w:t>
      </w:r>
      <w:r>
        <w:rPr>
          <w:rFonts w:ascii="Times New Roman" w:eastAsia="Times New Roman"/>
        </w:rPr>
        <w:t>1</w:t>
      </w:r>
      <w:r>
        <w:rPr>
          <w:spacing w:val="-7"/>
        </w:rPr>
        <w:t>篇被</w:t>
      </w:r>
      <w:r>
        <w:rPr>
          <w:rFonts w:ascii="Times New Roman" w:eastAsia="Times New Roman"/>
        </w:rPr>
        <w:t xml:space="preserve">SCI </w:t>
      </w:r>
      <w:r>
        <w:rPr>
          <w:spacing w:val="-13"/>
        </w:rPr>
        <w:t>或</w:t>
      </w:r>
      <w:r>
        <w:rPr>
          <w:rFonts w:ascii="Times New Roman" w:eastAsia="Times New Roman"/>
        </w:rPr>
        <w:t>EI</w:t>
      </w:r>
      <w:r>
        <w:rPr>
          <w:spacing w:val="-3"/>
        </w:rPr>
        <w:t>检索的论文</w:t>
      </w:r>
      <w:r>
        <w:rPr>
          <w:rFonts w:ascii="Times New Roman" w:eastAsia="Times New Roman"/>
        </w:rPr>
        <w:t>(</w:t>
      </w:r>
      <w:r>
        <w:rPr>
          <w:spacing w:val="-2"/>
        </w:rPr>
        <w:t>有正式的检索号</w:t>
      </w:r>
      <w:r>
        <w:rPr>
          <w:rFonts w:ascii="Times New Roman" w:eastAsia="Times New Roman"/>
        </w:rPr>
        <w:t>)</w:t>
      </w:r>
      <w:r>
        <w:rPr>
          <w:spacing w:val="-3"/>
        </w:rPr>
        <w:t>，或其它高级别学术刊物</w:t>
      </w:r>
      <w:r>
        <w:rPr>
          <w:rFonts w:ascii="Times New Roman" w:eastAsia="Times New Roman"/>
        </w:rPr>
        <w:t>(</w:t>
      </w:r>
      <w:r>
        <w:t>如</w:t>
      </w:r>
      <w:r>
        <w:rPr>
          <w:spacing w:val="-14"/>
        </w:rPr>
        <w:t xml:space="preserve">核心期刊，国际会议论文集被 </w:t>
      </w:r>
      <w:r>
        <w:rPr>
          <w:rFonts w:ascii="Times New Roman" w:eastAsia="Times New Roman"/>
        </w:rPr>
        <w:t xml:space="preserve">CPCI-S </w:t>
      </w:r>
      <w:r>
        <w:rPr>
          <w:spacing w:val="-2"/>
        </w:rPr>
        <w:t>检索等</w:t>
      </w:r>
      <w:r>
        <w:rPr>
          <w:rFonts w:ascii="Times New Roman" w:eastAsia="Times New Roman"/>
        </w:rPr>
        <w:t>)</w:t>
      </w:r>
      <w:r>
        <w:rPr>
          <w:spacing w:val="-13"/>
        </w:rPr>
        <w:t>上发表不少于</w:t>
      </w:r>
      <w:r>
        <w:rPr>
          <w:rFonts w:ascii="Times New Roman" w:eastAsia="Times New Roman"/>
        </w:rPr>
        <w:t>2</w:t>
      </w:r>
      <w:r>
        <w:rPr>
          <w:spacing w:val="-4"/>
        </w:rPr>
        <w:t>篇的学</w:t>
      </w:r>
      <w:r>
        <w:rPr>
          <w:spacing w:val="-11"/>
        </w:rPr>
        <w:t>术论文。特优者可由实验室另行资助出版专著</w:t>
      </w:r>
      <w:r>
        <w:rPr>
          <w:spacing w:val="-3"/>
        </w:rPr>
        <w:t>（</w:t>
      </w:r>
      <w:r>
        <w:rPr>
          <w:spacing w:val="-2"/>
        </w:rPr>
        <w:t>须由项目负责人提出申请</w:t>
      </w:r>
      <w:r>
        <w:rPr>
          <w:spacing w:val="-32"/>
        </w:rPr>
        <w:t>）</w:t>
      </w:r>
      <w:r>
        <w:rPr>
          <w:spacing w:val="-10"/>
        </w:rPr>
        <w:t>。课题验收时，发表论文的影印件和相关的检索证明应作为结</w:t>
      </w:r>
      <w:r>
        <w:rPr>
          <w:spacing w:val="-7"/>
        </w:rPr>
        <w:t>题验收的重要资料提供。</w:t>
      </w:r>
    </w:p>
    <w:p>
      <w:pPr>
        <w:pStyle w:val="4"/>
        <w:keepNext w:val="0"/>
        <w:keepLines w:val="0"/>
        <w:pageBreakBefore w:val="0"/>
        <w:widowControl w:val="0"/>
        <w:kinsoku/>
        <w:wordWrap/>
        <w:overflowPunct/>
        <w:topLinePunct w:val="0"/>
        <w:bidi w:val="0"/>
        <w:adjustRightInd/>
        <w:snapToGrid/>
        <w:spacing w:line="360" w:lineRule="auto"/>
        <w:ind w:right="377"/>
        <w:jc w:val="both"/>
        <w:textAlignment w:val="auto"/>
      </w:pPr>
      <w:r>
        <w:rPr>
          <w:spacing w:val="-10"/>
        </w:rPr>
        <w:t>本</w:t>
      </w:r>
      <w:r>
        <w:rPr>
          <w:rFonts w:hint="eastAsia"/>
          <w:spacing w:val="-10"/>
        </w:rPr>
        <w:t>重点</w:t>
      </w:r>
      <w:r>
        <w:rPr>
          <w:spacing w:val="-10"/>
        </w:rPr>
        <w:t>实验室开放基金资助课题的研究成果，由本实验室与研究者所</w:t>
      </w:r>
      <w:r>
        <w:rPr>
          <w:spacing w:val="-3"/>
        </w:rPr>
        <w:t>在单位共有共享。成果在正式发表时应遵守以下规定：</w:t>
      </w:r>
    </w:p>
    <w:p>
      <w:pPr>
        <w:pStyle w:val="4"/>
        <w:keepNext w:val="0"/>
        <w:keepLines w:val="0"/>
        <w:pageBreakBefore w:val="0"/>
        <w:widowControl w:val="0"/>
        <w:kinsoku/>
        <w:wordWrap/>
        <w:overflowPunct/>
        <w:topLinePunct w:val="0"/>
        <w:bidi w:val="0"/>
        <w:adjustRightInd/>
        <w:snapToGrid/>
        <w:spacing w:line="360" w:lineRule="auto"/>
        <w:ind w:right="371"/>
        <w:jc w:val="both"/>
        <w:textAlignment w:val="auto"/>
      </w:pPr>
      <w:r>
        <w:t>凡由本实验室资助的课题，</w:t>
      </w:r>
      <w:r>
        <w:rPr>
          <w:rFonts w:hint="eastAsia"/>
        </w:rPr>
        <w:t>署</w:t>
      </w:r>
      <w:r>
        <w:rPr>
          <w:rFonts w:hint="eastAsia" w:ascii="Times New Roman" w:hAnsi="Times New Roman" w:cs="Times New Roman"/>
          <w:szCs w:val="32"/>
        </w:rPr>
        <w:t>名单位须有重点实验室全称（河口生态安全与环境健康福建省高校重点实验室，</w:t>
      </w:r>
      <w:r>
        <w:rPr>
          <w:rFonts w:ascii="Times New Roman" w:hAnsi="Times New Roman"/>
          <w:sz w:val="24"/>
          <w:szCs w:val="24"/>
        </w:rPr>
        <w:t>Key Laboratory of Estuarine Ecological Security and Environmental Health, Tan Kah Kee College, Xiamen University</w:t>
      </w:r>
      <w:r>
        <w:rPr>
          <w:rFonts w:hint="eastAsia" w:ascii="Times New Roman" w:hAnsi="Times New Roman" w:cs="Times New Roman"/>
          <w:szCs w:val="32"/>
        </w:rPr>
        <w:t>），发表论文至少有</w:t>
      </w:r>
      <w:r>
        <w:rPr>
          <w:rFonts w:ascii="Times New Roman" w:hAnsi="Times New Roman" w:cs="Times New Roman"/>
          <w:szCs w:val="32"/>
        </w:rPr>
        <w:t>1</w:t>
      </w:r>
      <w:r>
        <w:rPr>
          <w:rFonts w:hint="eastAsia" w:ascii="Times New Roman" w:hAnsi="Times New Roman" w:cs="Times New Roman"/>
          <w:szCs w:val="32"/>
        </w:rPr>
        <w:t>篇标注实验室第一单位，否则不计入结题指标中。</w:t>
      </w:r>
    </w:p>
    <w:sectPr>
      <w:pgSz w:w="11910" w:h="16840"/>
      <w:pgMar w:top="958" w:right="1474" w:bottom="958" w:left="150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E2E3"/>
    <w:multiLevelType w:val="singleLevel"/>
    <w:tmpl w:val="2154E2E3"/>
    <w:lvl w:ilvl="0" w:tentative="0">
      <w:start w:val="5"/>
      <w:numFmt w:val="decimal"/>
      <w:suff w:val="nothing"/>
      <w:lvlText w:val="%1、"/>
      <w:lvlJc w:val="left"/>
    </w:lvl>
  </w:abstractNum>
  <w:abstractNum w:abstractNumId="1">
    <w:nsid w:val="401C19C7"/>
    <w:multiLevelType w:val="singleLevel"/>
    <w:tmpl w:val="401C19C7"/>
    <w:lvl w:ilvl="0" w:tentative="0">
      <w:start w:val="1"/>
      <w:numFmt w:val="decimal"/>
      <w:suff w:val="space"/>
      <w:lvlText w:val="%1."/>
      <w:lvlJc w:val="left"/>
      <w:rPr>
        <w:rFonts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rsids>
    <w:rsidRoot w:val="006A112A"/>
    <w:rsid w:val="00033603"/>
    <w:rsid w:val="000713CE"/>
    <w:rsid w:val="000C7E7E"/>
    <w:rsid w:val="00197CAC"/>
    <w:rsid w:val="003B283D"/>
    <w:rsid w:val="004D7F04"/>
    <w:rsid w:val="006869DE"/>
    <w:rsid w:val="006A112A"/>
    <w:rsid w:val="00A63788"/>
    <w:rsid w:val="00B85107"/>
    <w:rsid w:val="00BC2E84"/>
    <w:rsid w:val="03634D49"/>
    <w:rsid w:val="07DD6CE8"/>
    <w:rsid w:val="093A23FB"/>
    <w:rsid w:val="0E0A1B1D"/>
    <w:rsid w:val="1A5B4144"/>
    <w:rsid w:val="1D91219C"/>
    <w:rsid w:val="325D74D0"/>
    <w:rsid w:val="43D45D39"/>
    <w:rsid w:val="50BA1B7C"/>
    <w:rsid w:val="51C275F9"/>
    <w:rsid w:val="66935CF5"/>
    <w:rsid w:val="6F13130D"/>
    <w:rsid w:val="7775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ind w:left="3219"/>
      <w:outlineLvl w:val="0"/>
    </w:pPr>
    <w:rPr>
      <w:b/>
      <w:bCs/>
      <w:sz w:val="28"/>
      <w:szCs w:val="28"/>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1"/>
    <w:pPr>
      <w:ind w:left="120" w:firstLine="559"/>
    </w:pPr>
    <w:rPr>
      <w:sz w:val="28"/>
      <w:szCs w:val="2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fontstyle11"/>
    <w:basedOn w:val="5"/>
    <w:qFormat/>
    <w:uiPriority w:val="0"/>
    <w:rPr>
      <w:rFonts w:hint="eastAsia" w:ascii="宋体" w:hAnsi="宋体" w:eastAsia="宋体"/>
      <w:color w:val="00000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506</Words>
  <Characters>2889</Characters>
  <Lines>24</Lines>
  <Paragraphs>6</Paragraphs>
  <TotalTime>12</TotalTime>
  <ScaleCrop>false</ScaleCrop>
  <LinksUpToDate>false</LinksUpToDate>
  <CharactersWithSpaces>3389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2021-04-05T03:26:00Z</dcterms:created>
  <dc:creator>宇</dc:creator>
  <cp:lastModifiedBy>陈慧杰</cp:lastModifiedBy>
  <dcterms:modified xsi:type="dcterms:W3CDTF">2022-12-13T02:18:21Z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Microsoft® Word 2019</vt:lpwstr>
  </property>
  <property fmtid="{D5CDD505-2E9C-101B-9397-08002B2CF9AE}" pid="4" name="LastSaved">
    <vt:filetime>2021-04-05T00:00:00Z</vt:filetime>
  </property>
  <property fmtid="{D5CDD505-2E9C-101B-9397-08002B2CF9AE}" pid="5" name="KSOProductBuildVer">
    <vt:lpwstr>2052-11.8.2.8053</vt:lpwstr>
  </property>
  <property fmtid="{D5CDD505-2E9C-101B-9397-08002B2CF9AE}" pid="6" name="ICV">
    <vt:lpwstr>80B96C117A854B38B372428841C1833E</vt:lpwstr>
  </property>
</Properties>
</file>